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D2" w:rsidRDefault="00E27FD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27FD2" w:rsidRDefault="00E27FD2">
      <w:pPr>
        <w:pStyle w:val="ConsPlusNormal"/>
        <w:jc w:val="both"/>
        <w:outlineLvl w:val="0"/>
      </w:pPr>
    </w:p>
    <w:p w:rsidR="00E27FD2" w:rsidRDefault="00E27FD2">
      <w:pPr>
        <w:pStyle w:val="ConsPlusNormal"/>
        <w:outlineLvl w:val="0"/>
      </w:pPr>
      <w:r>
        <w:t>Зарегистрировано в Минюсте России 23 ноября 2020 г. N 61067</w:t>
      </w:r>
    </w:p>
    <w:p w:rsidR="00E27FD2" w:rsidRDefault="00E27F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Title"/>
        <w:jc w:val="center"/>
      </w:pPr>
      <w:r>
        <w:t>ФЕДЕРАЛЬНАЯ СЛУЖБА ВОЙСК НАЦИОНАЛЬНОЙ ГВАРДИИ</w:t>
      </w:r>
    </w:p>
    <w:p w:rsidR="00E27FD2" w:rsidRDefault="00E27FD2">
      <w:pPr>
        <w:pStyle w:val="ConsPlusTitle"/>
        <w:jc w:val="center"/>
      </w:pPr>
      <w:r>
        <w:t>РОССИЙСКОЙ ФЕДЕРАЦИИ</w:t>
      </w:r>
    </w:p>
    <w:p w:rsidR="00E27FD2" w:rsidRDefault="00E27FD2">
      <w:pPr>
        <w:pStyle w:val="ConsPlusTitle"/>
        <w:jc w:val="center"/>
      </w:pPr>
    </w:p>
    <w:p w:rsidR="00E27FD2" w:rsidRDefault="00E27FD2">
      <w:pPr>
        <w:pStyle w:val="ConsPlusTitle"/>
        <w:jc w:val="center"/>
      </w:pPr>
      <w:r>
        <w:t>ПРИКАЗ</w:t>
      </w:r>
    </w:p>
    <w:p w:rsidR="00E27FD2" w:rsidRDefault="00E27FD2">
      <w:pPr>
        <w:pStyle w:val="ConsPlusTitle"/>
        <w:jc w:val="center"/>
      </w:pPr>
      <w:r>
        <w:t>от 19 октября 2020 г. N 419</w:t>
      </w:r>
    </w:p>
    <w:p w:rsidR="00E27FD2" w:rsidRDefault="00E27FD2">
      <w:pPr>
        <w:pStyle w:val="ConsPlusTitle"/>
        <w:jc w:val="center"/>
      </w:pPr>
    </w:p>
    <w:p w:rsidR="00E27FD2" w:rsidRDefault="00E27FD2">
      <w:pPr>
        <w:pStyle w:val="ConsPlusTitle"/>
        <w:jc w:val="center"/>
      </w:pPr>
      <w:r>
        <w:t>ОБ УТВЕРЖДЕНИИ ТИПОВЫХ ТРЕБОВАНИЙ</w:t>
      </w:r>
    </w:p>
    <w:p w:rsidR="00E27FD2" w:rsidRDefault="00E27FD2">
      <w:pPr>
        <w:pStyle w:val="ConsPlusTitle"/>
        <w:jc w:val="center"/>
      </w:pPr>
      <w:r>
        <w:t>К ДОЛЖНОСТНОЙ ИНСТРУКЦИИ ЧАСТНОГО ОХРАННИКА</w:t>
      </w:r>
    </w:p>
    <w:p w:rsidR="00E27FD2" w:rsidRDefault="00E27FD2">
      <w:pPr>
        <w:pStyle w:val="ConsPlusTitle"/>
        <w:jc w:val="center"/>
      </w:pPr>
      <w:r>
        <w:t>НА ОБЪЕКТЕ ОХРАНЫ</w:t>
      </w: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второй статьи 12.1</w:t>
        </w:r>
      </w:hyperlink>
      <w:r>
        <w:t xml:space="preserve"> Закона Российской Федерации от 11 марта 1992 г.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2016, N 27, ст. 4160) приказываю: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1. Утвердить прилагаемые типовые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должностной инструкции частного охранника на объекте охраны.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2. Начальнику Главного управления государственного контроля и лицензионно-разрешительной работы Федеральной службы войск национальной гвардии Российской Федерации, командующим округами войск национальной гвардии Российской Федерации, начальникам территориальных органов Росгвардии организовать изучение и выполнение </w:t>
      </w:r>
      <w:hyperlink w:anchor="P37" w:history="1">
        <w:r>
          <w:rPr>
            <w:color w:val="0000FF"/>
          </w:rPr>
          <w:t>требований</w:t>
        </w:r>
      </w:hyperlink>
      <w:r>
        <w:t xml:space="preserve"> настоящего приказа.</w:t>
      </w: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jc w:val="right"/>
      </w:pPr>
      <w:r>
        <w:t>Директор Федеральной службы</w:t>
      </w:r>
    </w:p>
    <w:p w:rsidR="00E27FD2" w:rsidRDefault="00E27FD2">
      <w:pPr>
        <w:pStyle w:val="ConsPlusNormal"/>
        <w:jc w:val="right"/>
      </w:pPr>
      <w:r>
        <w:t>войск национальной гвардии</w:t>
      </w:r>
    </w:p>
    <w:p w:rsidR="00E27FD2" w:rsidRDefault="00E27FD2">
      <w:pPr>
        <w:pStyle w:val="ConsPlusNormal"/>
        <w:jc w:val="right"/>
      </w:pPr>
      <w:r>
        <w:t>Российской Федерации -</w:t>
      </w:r>
    </w:p>
    <w:p w:rsidR="00E27FD2" w:rsidRDefault="00E27FD2">
      <w:pPr>
        <w:pStyle w:val="ConsPlusNormal"/>
        <w:jc w:val="right"/>
      </w:pPr>
      <w:r>
        <w:t>главнокомандующий войсками</w:t>
      </w:r>
    </w:p>
    <w:p w:rsidR="00E27FD2" w:rsidRDefault="00E27FD2">
      <w:pPr>
        <w:pStyle w:val="ConsPlusNormal"/>
        <w:jc w:val="right"/>
      </w:pPr>
      <w:r>
        <w:t>национальной гвардии</w:t>
      </w:r>
    </w:p>
    <w:p w:rsidR="00E27FD2" w:rsidRDefault="00E27FD2">
      <w:pPr>
        <w:pStyle w:val="ConsPlusNormal"/>
        <w:jc w:val="right"/>
      </w:pPr>
      <w:r>
        <w:t>Российской Федерации</w:t>
      </w:r>
    </w:p>
    <w:p w:rsidR="00E27FD2" w:rsidRDefault="00E27FD2">
      <w:pPr>
        <w:pStyle w:val="ConsPlusNormal"/>
        <w:jc w:val="right"/>
      </w:pPr>
      <w:r>
        <w:t>генерал армии</w:t>
      </w:r>
    </w:p>
    <w:p w:rsidR="00E27FD2" w:rsidRDefault="00E27FD2">
      <w:pPr>
        <w:pStyle w:val="ConsPlusNormal"/>
        <w:jc w:val="right"/>
      </w:pPr>
      <w:r>
        <w:t>В.ЗОЛОТОВ</w:t>
      </w: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jc w:val="right"/>
        <w:outlineLvl w:val="0"/>
      </w:pPr>
      <w:r>
        <w:lastRenderedPageBreak/>
        <w:t>Приложение</w:t>
      </w:r>
    </w:p>
    <w:p w:rsidR="00E27FD2" w:rsidRDefault="00E27FD2">
      <w:pPr>
        <w:pStyle w:val="ConsPlusNormal"/>
        <w:jc w:val="right"/>
      </w:pPr>
      <w:r>
        <w:t>к приказу Федеральной службы</w:t>
      </w:r>
    </w:p>
    <w:p w:rsidR="00E27FD2" w:rsidRDefault="00E27FD2">
      <w:pPr>
        <w:pStyle w:val="ConsPlusNormal"/>
        <w:jc w:val="right"/>
      </w:pPr>
      <w:r>
        <w:t>войск национальной гвардии</w:t>
      </w:r>
    </w:p>
    <w:p w:rsidR="00E27FD2" w:rsidRDefault="00E27FD2">
      <w:pPr>
        <w:pStyle w:val="ConsPlusNormal"/>
        <w:jc w:val="right"/>
      </w:pPr>
      <w:r>
        <w:t>Российской Федерации</w:t>
      </w:r>
    </w:p>
    <w:p w:rsidR="00E27FD2" w:rsidRDefault="00E27FD2">
      <w:pPr>
        <w:pStyle w:val="ConsPlusNormal"/>
        <w:jc w:val="right"/>
      </w:pPr>
      <w:r>
        <w:t>от 19.10.2020 N 419</w:t>
      </w: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Title"/>
        <w:jc w:val="center"/>
      </w:pPr>
      <w:bookmarkStart w:id="0" w:name="P37"/>
      <w:bookmarkEnd w:id="0"/>
      <w:r>
        <w:t>ТИПОВЫЕ ТРЕБОВАНИЯ</w:t>
      </w:r>
    </w:p>
    <w:p w:rsidR="00E27FD2" w:rsidRDefault="00E27FD2">
      <w:pPr>
        <w:pStyle w:val="ConsPlusTitle"/>
        <w:jc w:val="center"/>
      </w:pPr>
      <w:r>
        <w:t>К ДОЛЖНОСТНОЙ ИНСТРУКЦИИ ЧАСТНОГО ОХРАННИКА</w:t>
      </w:r>
    </w:p>
    <w:p w:rsidR="00E27FD2" w:rsidRDefault="00E27FD2">
      <w:pPr>
        <w:pStyle w:val="ConsPlusTitle"/>
        <w:jc w:val="center"/>
      </w:pPr>
      <w:r>
        <w:t>НА ОБЪЕКТЕ ОХРАНЫ</w:t>
      </w: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ind w:firstLine="540"/>
        <w:jc w:val="both"/>
      </w:pPr>
      <w:r>
        <w:t>1. Должностная инструкция частного охранника на объекте охраны (далее - должностная инструкция) регламентирует действия частного охранника на объекте охраны при обеспечении внутриобъектового и пропускного режимов, его права и обязанности при выполнении им трудовой функции.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2. Должностная инструкция носит обезличенный характер и разрабатывается для каждого объекта охраны с учетом его особенностей.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3. Должностная инструкция подлежит согласованию клиентом либо заказчиком или их уполномоченным представителем путем проставления слова "СОГЛАСОВАНО", указания должности лица, его личной подписи, расшифровки подписи (инициалы, фамилия) и даты согласования.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Согласованная должностная инструкция утверждается руководителем либо уполномоченным представителем частной охранной организации путем проставления слова "УТВЕРЖДАЮ", указания должности лица, его личной подписи, расшифровки подписи (инициалы, фамилия) и даты утверждения.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4. Должностная инструкция составляется в двух экземплярах.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Один экземпляр должностной инструкции направляется в территориальный орган Росгвардии по месту нахождения соответствующего объекта охраны в сроки, установленные для уведомления частной охранной организацией территориальных органов Росгвардии о начале оказания охранных услуг &lt;1&gt;.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&lt;1&gt; </w:t>
      </w:r>
      <w:hyperlink r:id="rId6" w:history="1">
        <w:r>
          <w:rPr>
            <w:color w:val="0000FF"/>
          </w:rPr>
          <w:t>Правила</w:t>
        </w:r>
      </w:hyperlink>
      <w:r>
        <w:t xml:space="preserve"> уведомления частной охранной организацией территориальных органов федерального органа исполнительной власти, уполномоченного в сфере частной охранной деятельности, о начале и об окончании оказания охранных услуг, изменении состава учредителей (участников), утвержденные постановлением Правительства Российской Федерации от 23 июня 2011 г. N 498 (Собрание законодательства Российской Федерации, 2011, N 26, ст. 3820; 2018, N 27, ст. 4082).</w:t>
      </w: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ind w:firstLine="540"/>
        <w:jc w:val="both"/>
      </w:pPr>
      <w:r>
        <w:t xml:space="preserve">Второй экземпляр должностной инструкции хранится в частной охранной </w:t>
      </w:r>
      <w:r>
        <w:lastRenderedPageBreak/>
        <w:t>организации. Заверенная копия должностной инструкции хранится на объекте охраны.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5. Внесение изменений в должностную инструкцию осуществляется путем подготовки ее новой редакции. Новая редакция должностной инструкции в течение 5 дней после ее утверждения направляется в территориальный орган Росгвардии по месту нахождения соответствующего объекта охраны.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6. Согласованная клиентом либо заказчиком или их уполномоченным представителем должностная инструкция вступает в силу с момента ее утверждения руководителем либо уполномоченным представителем частной охранной организации и действует в период исполнения договора на оказание охранных </w:t>
      </w:r>
      <w:proofErr w:type="gramStart"/>
      <w:r>
        <w:t>услуг</w:t>
      </w:r>
      <w:proofErr w:type="gramEnd"/>
      <w:r>
        <w:t xml:space="preserve"> либо до ее замены новой редакцией должностной инструкции.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7. Согласованная и утвержденная должностная инструкция доводится до сведения частных охранников, обеспечивающих внутриобъектовый и пропускной режимы в пределах объекта охраны, о чем делается соответствующая отметка в листе ознакомления. Лист ознакомления хранится совместно с заверенной копией должностной инструкции на объекте охраны.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8. В должностной инструкции указываются наименование документа, наименование объекта охраны, реквизиты согласования и утверждения, номер и дата заключения договора на оказание охранных услуг.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9. Должностная инструкция состоит из разделов: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I Общие положения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II Права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III Обязанности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IV Ответственность.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10. В разделе I "Общие положения" указываются: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10.1. Объект охраны (виды оказываемых охранных услуг в соответствии с договором, место нахождения, краткая характеристика, границы).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10.2. Перечень законодательных и иных нормативных правовых актов Российской Федерации, а также локальных нормативных актов, которыми должен руководствоваться частный охранник при исполнении своих трудовых функций.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10.3. Перечень лиц и (или) должностей работников частной охранной организации и заказчика, исполнение законных распоряжений которых в </w:t>
      </w:r>
      <w:r>
        <w:lastRenderedPageBreak/>
        <w:t>соответствии с представленными им полномочиями обязательно для частного охранника.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10.4. Режим работы частного охранника на объекте охраны.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10.5. Установленные клиентом или заказчиком правила соблюдения персоналом и посетителями объекта охраны внутриобъектового и пропускного режимов.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10.6. Правила ведения и порядок оформления служебной документации на объекте охраны.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10.7. Иные положения, конкретизирующие и уточняющие трудовые функции частного охранника на объекте охраны и условия его деятельности.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11. Раздел II "Права" содержит перечень прав, которыми обладает частный охранник при обеспечении внутриобъектового и пропускного режимов на объекте охраны. Приводится перечень прав, предусмотренных </w:t>
      </w:r>
      <w:hyperlink r:id="rId7" w:history="1">
        <w:r>
          <w:rPr>
            <w:color w:val="0000FF"/>
          </w:rPr>
          <w:t>статьей 12.1</w:t>
        </w:r>
      </w:hyperlink>
      <w:r>
        <w:t xml:space="preserve"> Закона Российской Федерации от 11 марта 1992 г. N 2487-1 "О частной детективной и охранной деятельности в Российской Федерации" (далее - Закон "О частной детективной и охранной деятельности в Российской Федерации").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В разделе отражаются действия частного охранника при прибытии на охраняемый объект должностных лиц государственных органов (порядок допуска на объект охраны должностных лиц правоохранительных, контролирующих и надзорных органов, представления необходимой информации и документов), взаимодействие с государственными органами (адреса и номера телефонов, иные способы связи с правоохранительными, контролирующими и надзорными органами, которые частный охранник обязан уведомлять в случаях, предусмотренных законодательством Российской Федерации и (или) локальными нормативными актами), а также порядок взаимодействия с представителями иных организаций, осуществляющих охранные или контрольные функции на охраняемом объекте (в случае их наличия).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12. В разделе III "Обязанности" указываются: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12.1. Перечень обязанностей, возложенных на частного охранника при обеспечении внутриобъектового и пропускного режимов на объекте охраны, в том числе предусмотренных </w:t>
      </w:r>
      <w:hyperlink r:id="rId8" w:history="1">
        <w:r>
          <w:rPr>
            <w:color w:val="0000FF"/>
          </w:rPr>
          <w:t>статьей 12.1</w:t>
        </w:r>
      </w:hyperlink>
      <w:r>
        <w:t xml:space="preserve"> Закона "О частной детективной и охранной деятельности в Российской Федерации".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 xml:space="preserve">12.2. Действия частного охранника по осуществлению контроля за состоянием и исправностью технических средств охраны, систем видеонаблюдения и систем контроля и управления доступом, которыми оборудован объект охраны, если такие действия возложены на частную </w:t>
      </w:r>
      <w:r>
        <w:lastRenderedPageBreak/>
        <w:t>охранную организацию в соответствии с договором на оказание охранных услуг.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12.3. Действия частного охранника по задержанию и передаче в органы внутренних дел лиц, совершивших противоправное посягательство на охраняемое имущество либо нарушающих внутриобъектовый и (или) пропускной режимы.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12.4. Действия частного охранника при возникновении чрезвычайных ситуаций.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12.5. Порядок приема и передачи дежурства (в том числе порядок приема и передачи документов, средств охраны, оружия и специальных средств в соответствии с законодательством Российской Федерации, регламентирующим частную охранную деятельность, оборот оружия и специальных средств).</w:t>
      </w:r>
    </w:p>
    <w:p w:rsidR="00E27FD2" w:rsidRDefault="00E27FD2">
      <w:pPr>
        <w:pStyle w:val="ConsPlusNormal"/>
        <w:spacing w:before="280"/>
        <w:ind w:firstLine="540"/>
        <w:jc w:val="both"/>
      </w:pPr>
      <w:r>
        <w:t>13. В разделе IV "Ответственность" указываются виды ответственности частного охранника за несоблюдение требований, установленных законодательством Российской Федерации.</w:t>
      </w: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jc w:val="both"/>
      </w:pPr>
    </w:p>
    <w:p w:rsidR="00E27FD2" w:rsidRDefault="00E27F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0405" w:rsidRDefault="00210405">
      <w:bookmarkStart w:id="1" w:name="_GoBack"/>
      <w:bookmarkEnd w:id="1"/>
    </w:p>
    <w:sectPr w:rsidR="00210405" w:rsidSect="009E1D7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D2"/>
    <w:rsid w:val="001A24F3"/>
    <w:rsid w:val="00210405"/>
    <w:rsid w:val="00E2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56945-1A6D-4A27-8FB7-F8C4A704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FD2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E27FD2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E27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036EF3EEA95173EC9BA0D2E66BA3C023C3B6E20EDB7683347125F52CDF7969181A677AC2042DFA0804FB8F75D5B7A648B0CACB0EG7e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036EF3EEA95173EC9BA0D2E66BA3C023C3B6E20EDB7683347125F52CDF7969181A677AC2042DFA0804FB8F75D5B7A648B0CACB0EG7e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036EF3EEA95173EC9BA0D2E66BA3C023C1B2E50ADD7683347125F52CDF7969181A6779CE0D72FF1D15A38372CDA8A554ACC8C9G0eDL" TargetMode="External"/><Relationship Id="rId5" Type="http://schemas.openxmlformats.org/officeDocument/2006/relationships/hyperlink" Target="consultantplus://offline/ref=64036EF3EEA95173EC9BA0D2E66BA3C023C3B6E20EDB7683347125F52CDF7969181A677ACB0624AB594BFAD33086A4A64CB0C9C912740C22G9eD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Китаева</dc:creator>
  <cp:keywords/>
  <dc:description/>
  <cp:lastModifiedBy>Наталья Китаева</cp:lastModifiedBy>
  <cp:revision>1</cp:revision>
  <dcterms:created xsi:type="dcterms:W3CDTF">2021-12-16T11:30:00Z</dcterms:created>
  <dcterms:modified xsi:type="dcterms:W3CDTF">2021-12-16T11:31:00Z</dcterms:modified>
</cp:coreProperties>
</file>